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BFA" w:rsidRDefault="003C3370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90FAE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786522060" r:id="rId9"/>
        </w:object>
      </w:r>
      <w:r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DD2BFA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DD2BFA" w:rsidRDefault="00B76DE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 августа 2024 года</w:t>
            </w:r>
          </w:p>
        </w:tc>
        <w:tc>
          <w:tcPr>
            <w:tcW w:w="5246" w:type="dxa"/>
            <w:vAlign w:val="bottom"/>
          </w:tcPr>
          <w:p w:rsidR="00DD2BFA" w:rsidRDefault="00690FAE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DD2BFA" w:rsidRDefault="00B76DE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60</w:t>
            </w:r>
          </w:p>
        </w:tc>
      </w:tr>
    </w:tbl>
    <w:p w:rsidR="00DD2BFA" w:rsidRDefault="00DD2BFA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DD2BFA" w:rsidRDefault="00690FAE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 xml:space="preserve">по адресам: улица Лавровская, 3, улица Полевая, 190, улица Скворцова, </w:t>
      </w:r>
      <w:r w:rsidR="003C3370">
        <w:rPr>
          <w:rFonts w:ascii="Times New Roman" w:hAnsi="Times New Roman"/>
          <w:b/>
          <w:bCs/>
          <w:sz w:val="26"/>
          <w:szCs w:val="26"/>
        </w:rPr>
        <w:t>9</w:t>
      </w:r>
    </w:p>
    <w:p w:rsidR="00DD2BFA" w:rsidRDefault="00DD2BFA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DD2BFA" w:rsidRDefault="00690FAE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B76DE2">
        <w:rPr>
          <w:szCs w:val="24"/>
        </w:rPr>
        <w:t>19</w:t>
      </w:r>
      <w:r>
        <w:rPr>
          <w:szCs w:val="24"/>
        </w:rPr>
        <w:t xml:space="preserve"> </w:t>
      </w:r>
      <w:r w:rsidR="00B76DE2">
        <w:rPr>
          <w:szCs w:val="24"/>
        </w:rPr>
        <w:t>августа</w:t>
      </w:r>
      <w:r>
        <w:rPr>
          <w:szCs w:val="24"/>
        </w:rPr>
        <w:t xml:space="preserve">    2024 года № </w:t>
      </w:r>
      <w:r w:rsidR="00B76DE2">
        <w:rPr>
          <w:szCs w:val="24"/>
        </w:rPr>
        <w:t>24исх-3376/24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DD2BFA" w:rsidRDefault="00690FAE">
      <w:pPr>
        <w:pStyle w:val="aff5"/>
        <w:ind w:right="-1"/>
      </w:pPr>
      <w:r>
        <w:t>ПОСТАНОВЛЯЮ:</w:t>
      </w:r>
    </w:p>
    <w:p w:rsidR="00DD2BFA" w:rsidRDefault="00690FAE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Лавровская, 3 (приложение 1), улица Полевая, 190 (приложение 2), улица Скворцова, </w:t>
      </w:r>
      <w:r w:rsidR="003C3370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(приложение 3), в форме собрания участников публичных слушаний по проектам муниципальных правовых актов в Администрации города Костромы.</w:t>
      </w:r>
    </w:p>
    <w:p w:rsidR="00DD2BFA" w:rsidRDefault="00690FAE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DD2BFA" w:rsidRDefault="00690FAE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11 сентября 2024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DD2BFA" w:rsidRDefault="00690FAE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DD2BFA" w:rsidRDefault="00690FAE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прилагаемые:</w:t>
      </w:r>
    </w:p>
    <w:p w:rsidR="00DD2BFA" w:rsidRDefault="00690FAE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повестку собра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улица Лавровская, 3, улица Полевая, 190, улица Скворцова, </w:t>
      </w:r>
      <w:r w:rsidR="003C3370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(приложение 4);</w:t>
      </w:r>
    </w:p>
    <w:p w:rsidR="00DD2BFA" w:rsidRDefault="00690FAE" w:rsidP="005D32F2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lastRenderedPageBreak/>
        <w:t>2) оповещение о начале публичных слушаний (приложение 5)</w:t>
      </w:r>
      <w:r>
        <w:rPr>
          <w:rFonts w:ascii="Times New Roman" w:hAnsi="Times New Roman"/>
          <w:sz w:val="26"/>
          <w:szCs w:val="24"/>
        </w:rPr>
        <w:t>.</w:t>
      </w:r>
    </w:p>
    <w:p w:rsidR="00DD2BFA" w:rsidRDefault="00690FAE" w:rsidP="005D32F2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23 августа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DD2BFA" w:rsidRDefault="00690FAE" w:rsidP="005D32F2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7. Со 2 сентября 2024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t xml:space="preserve"> </w:t>
      </w:r>
      <w:r>
        <w:rPr>
          <w:rFonts w:ascii="Times New Roman" w:hAnsi="Times New Roman"/>
          <w:sz w:val="26"/>
          <w:szCs w:val="26"/>
        </w:rPr>
        <w:t xml:space="preserve">улица Лавровская, 3, улица Полевая, 190, улица Скворцова, </w:t>
      </w:r>
      <w:r w:rsidR="003C3370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4"/>
        </w:rPr>
        <w:t>.</w:t>
      </w:r>
    </w:p>
    <w:p w:rsidR="00DD2BFA" w:rsidRDefault="00690FAE" w:rsidP="005D32F2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  8. Не позднее 2 сентября 2024 года разместить и до 11 сентября 2024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DD2BFA" w:rsidRDefault="00690FAE" w:rsidP="005D32F2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DD2BFA" w:rsidRDefault="00DD2BFA" w:rsidP="005D32F2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D2BFA" w:rsidRDefault="00DD2BFA" w:rsidP="005D32F2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D2BFA" w:rsidRDefault="00DD2BFA" w:rsidP="005D32F2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D2BFA" w:rsidRDefault="00690FAE" w:rsidP="005D32F2">
      <w:pPr>
        <w:pStyle w:val="aff6"/>
        <w:spacing w:before="0"/>
        <w:ind w:left="-1134" w:right="1133" w:firstLine="708"/>
      </w:pPr>
      <w:r>
        <w:t xml:space="preserve">Глава города Костромы                                                                         Ю. В. </w:t>
      </w:r>
      <w:proofErr w:type="spellStart"/>
      <w:r>
        <w:t>Журин</w:t>
      </w:r>
      <w:proofErr w:type="spellEnd"/>
    </w:p>
    <w:p w:rsidR="00DD2BFA" w:rsidRDefault="00DD2BFA" w:rsidP="005D32F2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DD2BFA" w:rsidRDefault="00690FAE" w:rsidP="005D32F2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"__"____________2024 года</w:t>
      </w:r>
    </w:p>
    <w:sectPr w:rsidR="00DD2BFA">
      <w:headerReference w:type="default" r:id="rId11"/>
      <w:pgSz w:w="11906" w:h="16838"/>
      <w:pgMar w:top="709" w:right="567" w:bottom="993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FAE" w:rsidRDefault="00690FAE">
      <w:r>
        <w:separator/>
      </w:r>
    </w:p>
  </w:endnote>
  <w:endnote w:type="continuationSeparator" w:id="0">
    <w:p w:rsidR="00690FAE" w:rsidRDefault="0069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FAE" w:rsidRDefault="00690FAE">
      <w:r>
        <w:separator/>
      </w:r>
    </w:p>
  </w:footnote>
  <w:footnote w:type="continuationSeparator" w:id="0">
    <w:p w:rsidR="00690FAE" w:rsidRDefault="0069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BFA" w:rsidRDefault="00DD2BFA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128FF"/>
    <w:multiLevelType w:val="hybridMultilevel"/>
    <w:tmpl w:val="E3AAA958"/>
    <w:lvl w:ilvl="0" w:tplc="386CFCF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99C7B5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DACD7C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1ECFE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C3A88A6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C33C6152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F856A9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BD82BE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6A257E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BFA"/>
    <w:rsid w:val="003512CC"/>
    <w:rsid w:val="003C3370"/>
    <w:rsid w:val="005D32F2"/>
    <w:rsid w:val="00690FAE"/>
    <w:rsid w:val="00B76DE2"/>
    <w:rsid w:val="00DD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4CB328F-6196-493F-A1E2-077BC6D0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10AF2-60D2-4718-860A-CF174602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32</cp:revision>
  <cp:lastPrinted>2024-08-30T08:13:00Z</cp:lastPrinted>
  <dcterms:created xsi:type="dcterms:W3CDTF">2022-08-30T09:40:00Z</dcterms:created>
  <dcterms:modified xsi:type="dcterms:W3CDTF">2024-08-30T08:21:00Z</dcterms:modified>
</cp:coreProperties>
</file>